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C2" w:rsidRPr="00445690" w:rsidRDefault="005679C2" w:rsidP="005679C2">
      <w:pPr>
        <w:pStyle w:val="Standard"/>
        <w:spacing w:after="100" w:afterAutospacing="1" w:line="240" w:lineRule="auto"/>
        <w:contextualSpacing/>
        <w:jc w:val="center"/>
        <w:rPr>
          <w:sz w:val="24"/>
          <w:szCs w:val="24"/>
        </w:rPr>
      </w:pPr>
      <w:r w:rsidRPr="00445690">
        <w:rPr>
          <w:b/>
          <w:sz w:val="24"/>
          <w:szCs w:val="24"/>
        </w:rPr>
        <w:t>CERTAMEN PATRISTICUM VIGLEVANENSE</w:t>
      </w:r>
    </w:p>
    <w:p w:rsidR="005679C2" w:rsidRPr="00445690" w:rsidRDefault="005679C2" w:rsidP="005679C2">
      <w:pPr>
        <w:pStyle w:val="Standard"/>
        <w:spacing w:after="100" w:afterAutospacing="1" w:line="240" w:lineRule="auto"/>
        <w:contextualSpacing/>
        <w:jc w:val="center"/>
        <w:rPr>
          <w:sz w:val="24"/>
          <w:szCs w:val="24"/>
        </w:rPr>
      </w:pPr>
      <w:r w:rsidRPr="00445690">
        <w:rPr>
          <w:b/>
          <w:sz w:val="24"/>
          <w:szCs w:val="24"/>
        </w:rPr>
        <w:t>V  EDIZIONE</w:t>
      </w:r>
    </w:p>
    <w:p w:rsidR="005679C2" w:rsidRPr="00445690" w:rsidRDefault="005679C2" w:rsidP="005679C2">
      <w:pPr>
        <w:pStyle w:val="Standard"/>
        <w:spacing w:after="100" w:afterAutospacing="1" w:line="240" w:lineRule="auto"/>
        <w:contextualSpacing/>
        <w:jc w:val="both"/>
        <w:rPr>
          <w:b/>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b/>
          <w:sz w:val="24"/>
          <w:szCs w:val="24"/>
        </w:rPr>
        <w:t>REGOLAMENTO</w:t>
      </w:r>
    </w:p>
    <w:p w:rsidR="005679C2" w:rsidRPr="00445690" w:rsidRDefault="005679C2" w:rsidP="005679C2">
      <w:pPr>
        <w:pStyle w:val="Standard"/>
        <w:spacing w:after="100" w:afterAutospacing="1" w:line="240" w:lineRule="auto"/>
        <w:contextualSpacing/>
        <w:jc w:val="both"/>
        <w:rPr>
          <w:b/>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 1</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 xml:space="preserve">Il  Liceo Ginnasio Statale </w:t>
      </w:r>
      <w:r w:rsidRPr="00445690">
        <w:rPr>
          <w:b/>
          <w:sz w:val="24"/>
          <w:szCs w:val="24"/>
        </w:rPr>
        <w:t>“B. Cairoli”</w:t>
      </w:r>
      <w:r w:rsidRPr="00445690">
        <w:rPr>
          <w:sz w:val="24"/>
          <w:szCs w:val="24"/>
        </w:rPr>
        <w:t xml:space="preserve"> di Vigevano istituisce con cadenza annuale il CERTAMEN  PATRISTICUM VIGLEVANENSE,  gara di traduzione e commento di un brano di prosa latina di uno dei Padri della Chiesa.  Scopi del concorso sono la valorizzazione delle eccellenze e degli studenti più meritevoli grazie all’esperienza di un </w:t>
      </w:r>
      <w:proofErr w:type="spellStart"/>
      <w:r w:rsidRPr="00445690">
        <w:rPr>
          <w:i/>
          <w:sz w:val="24"/>
          <w:szCs w:val="24"/>
        </w:rPr>
        <w:t>Certamen</w:t>
      </w:r>
      <w:proofErr w:type="spellEnd"/>
      <w:r w:rsidRPr="00445690">
        <w:rPr>
          <w:sz w:val="24"/>
          <w:szCs w:val="24"/>
        </w:rPr>
        <w:t>; la promozione dello studio e della conoscenza della lingua e della civiltà latina; la creazione di un collegamento con Istituti universitari, nell’ottica di una rete di studi classici.</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 2</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La partecipazione al CERTAMEN è riservata agli stud</w:t>
      </w:r>
      <w:r w:rsidR="00232251">
        <w:rPr>
          <w:sz w:val="24"/>
          <w:szCs w:val="24"/>
        </w:rPr>
        <w:t>enti che frequentano il secondo biennio e l’anno</w:t>
      </w:r>
      <w:r w:rsidRPr="00445690">
        <w:rPr>
          <w:sz w:val="24"/>
          <w:szCs w:val="24"/>
        </w:rPr>
        <w:t xml:space="preserve"> conclusivo dei Licei italiani di tutti gli indirizzi che </w:t>
      </w:r>
      <w:r w:rsidR="00441222">
        <w:rPr>
          <w:sz w:val="24"/>
          <w:szCs w:val="24"/>
        </w:rPr>
        <w:t>contemplino lo studio di Lingua e Cultura Latina</w:t>
      </w:r>
      <w:r w:rsidRPr="00445690">
        <w:rPr>
          <w:sz w:val="24"/>
          <w:szCs w:val="24"/>
        </w:rPr>
        <w:t>, nonché agli allievi di scuole europee ed extraeuropee, nel cui piano di studi  sia previsto l’apprendimento della lingua latina e che frequentino una classe compresa tra l’11° e il 13° anno del proprio corso di studi.</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 3</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Al CERTAMEN sono  ammessi  studenti  italiani e stranieri selezionati dall’Istituto di provenienza secondo criteri di propria scelta.</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 4</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Pr>
          <w:sz w:val="24"/>
          <w:szCs w:val="24"/>
        </w:rPr>
        <w:t xml:space="preserve">I concorrenti </w:t>
      </w:r>
      <w:r w:rsidRPr="00445690">
        <w:rPr>
          <w:sz w:val="24"/>
          <w:szCs w:val="24"/>
        </w:rPr>
        <w:t xml:space="preserve">devono presentare domanda di iscrizione al CERTAMEN secondo i termini e le modalità indicate nel  Bando annuale (moduli A e B, </w:t>
      </w:r>
      <w:r>
        <w:rPr>
          <w:sz w:val="24"/>
          <w:szCs w:val="24"/>
        </w:rPr>
        <w:t xml:space="preserve">modulo C liberatoria, </w:t>
      </w:r>
      <w:r w:rsidRPr="00445690">
        <w:rPr>
          <w:sz w:val="24"/>
          <w:szCs w:val="24"/>
        </w:rPr>
        <w:t>scaricabi</w:t>
      </w:r>
      <w:r w:rsidR="00232251">
        <w:rPr>
          <w:sz w:val="24"/>
          <w:szCs w:val="24"/>
        </w:rPr>
        <w:t>li dal sito www.liceocairoli.edu</w:t>
      </w:r>
      <w:r w:rsidRPr="00445690">
        <w:rPr>
          <w:sz w:val="24"/>
          <w:szCs w:val="24"/>
        </w:rPr>
        <w:t>.it).</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 5</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Il numero massimo dei concorrenti viene deciso ogni anno in base alle risorse e possibilità organizzative dell’Istituto scolastico. In caso di domande eccedenti i criteri di accettazione sono indicati nel Bando annuale. Non possono partecipare al  CERTAMEN studenti che abbiano avuto come insegnante un membro della Commissione giudicatrice nei due anni precedenti quello in corso.</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 6</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I partecipanti al CERTAMEN possono essere accompagnati da uno o più docenti  del proprio Istituto. Sia per i partecipanti sia per i docenti le spese di viaggio, di vitto e alloggio sono a carico degli stessi. Eventuali precisazioni vengono  indicate nel Bando annuale.</w:t>
      </w:r>
    </w:p>
    <w:p w:rsidR="005679C2" w:rsidRPr="00445690" w:rsidRDefault="005679C2" w:rsidP="005679C2">
      <w:pPr>
        <w:pStyle w:val="Standard"/>
        <w:spacing w:after="100" w:afterAutospacing="1" w:line="240" w:lineRule="auto"/>
        <w:contextualSpacing/>
        <w:jc w:val="both"/>
        <w:rPr>
          <w:sz w:val="24"/>
          <w:szCs w:val="24"/>
        </w:rPr>
      </w:pPr>
    </w:p>
    <w:p w:rsidR="00232251" w:rsidRDefault="00232251" w:rsidP="005679C2">
      <w:pPr>
        <w:pStyle w:val="Standard"/>
        <w:spacing w:after="100" w:afterAutospacing="1" w:line="240" w:lineRule="auto"/>
        <w:contextualSpacing/>
        <w:jc w:val="both"/>
        <w:rPr>
          <w:b/>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lastRenderedPageBreak/>
        <w:t>Art. 7</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La Commissione giudicatrice, nominata ogni anno dagli organizzatori del CERTAMEN, potrà essere costituita da docenti universitari, dirigenti scolastici, docenti di Lettere, anche a riposo, ecclesiastici cultori di Lettere classiche, personalità che si sono distinte nella promozione della cultura classica. A nessun titolo possono far parte della Commissione professori che insegnano nelle scuole di provenienza dei concorrenti.</w:t>
      </w:r>
      <w:r w:rsidR="00232251">
        <w:rPr>
          <w:sz w:val="24"/>
          <w:szCs w:val="24"/>
        </w:rPr>
        <w:t xml:space="preserve"> </w:t>
      </w:r>
      <w:r w:rsidRPr="00445690">
        <w:rPr>
          <w:sz w:val="24"/>
          <w:szCs w:val="24"/>
        </w:rPr>
        <w:t>Per la Commissione valgono le norme dei pubblici concorsi, in particolare per le cause di incompatibilità dei componenti della stessa.</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 8</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Compiti della Commissione sono la scelta del testo su cui verte ogni anno la prova e la correzione degli elaborati. Il giudizio finale della Commissione sarà ritenuto insindacabile. In occasione della correzione degli elaborati la Commissione, a sua discrezione, può avvalersi di membri aggiuntivi.</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 9</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L’importo dei premi viene stabilito ogni anno, in base alle risorse disponibili ed è indicato nel Bando. La cerimonia d</w:t>
      </w:r>
      <w:r w:rsidR="0062623A">
        <w:rPr>
          <w:sz w:val="24"/>
          <w:szCs w:val="24"/>
        </w:rPr>
        <w:t>i premiazione si tiene il sabato</w:t>
      </w:r>
      <w:r w:rsidRPr="00445690">
        <w:rPr>
          <w:sz w:val="24"/>
          <w:szCs w:val="24"/>
        </w:rPr>
        <w:t xml:space="preserve"> seguente lo svolgimento della prova, secondo le modalità indicate nel Bando.</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 10</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 xml:space="preserve">Il CERTAMEN si svolge presso la sede del Liceo Ginnasio Statale </w:t>
      </w:r>
      <w:r w:rsidRPr="00445690">
        <w:rPr>
          <w:b/>
          <w:sz w:val="24"/>
          <w:szCs w:val="24"/>
        </w:rPr>
        <w:t>“B. Cairoli”</w:t>
      </w:r>
      <w:r w:rsidRPr="00445690">
        <w:rPr>
          <w:sz w:val="24"/>
          <w:szCs w:val="24"/>
        </w:rPr>
        <w:t xml:space="preserve"> di Vigevano. Il giorno della prova e le modalità di svolgimento sono  indicate ogni anno nel Bando.</w:t>
      </w:r>
    </w:p>
    <w:p w:rsidR="005679C2" w:rsidRPr="00445690" w:rsidRDefault="005679C2" w:rsidP="005679C2">
      <w:pPr>
        <w:pStyle w:val="Standard"/>
        <w:spacing w:after="100" w:afterAutospacing="1" w:line="240" w:lineRule="auto"/>
        <w:contextualSpacing/>
        <w:jc w:val="both"/>
        <w:rPr>
          <w:color w:val="00B050"/>
          <w:sz w:val="24"/>
          <w:szCs w:val="24"/>
        </w:rPr>
      </w:pP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b/>
          <w:sz w:val="24"/>
          <w:szCs w:val="24"/>
        </w:rPr>
      </w:pPr>
      <w:r w:rsidRPr="00445690">
        <w:rPr>
          <w:rFonts w:cs="Courier New"/>
          <w:b/>
          <w:color w:val="000000"/>
          <w:sz w:val="24"/>
          <w:szCs w:val="24"/>
          <w:lang w:eastAsia="it-IT"/>
        </w:rPr>
        <w:t>Art. 11</w:t>
      </w: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p>
    <w:p w:rsidR="0062623A"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r w:rsidRPr="00445690">
        <w:rPr>
          <w:rFonts w:cs="Courier New"/>
          <w:color w:val="000000"/>
          <w:sz w:val="24"/>
          <w:szCs w:val="24"/>
          <w:lang w:eastAsia="it-IT"/>
        </w:rPr>
        <w:t xml:space="preserve">Allo scopo di garantire l’anonimato dei concorrenti durante la correzione delle prove, </w:t>
      </w:r>
      <w:r w:rsidR="0062623A">
        <w:rPr>
          <w:rFonts w:cs="Courier New"/>
          <w:color w:val="000000"/>
          <w:sz w:val="24"/>
          <w:szCs w:val="24"/>
          <w:lang w:eastAsia="it-IT"/>
        </w:rPr>
        <w:t xml:space="preserve">sull’elaborato non sarà indicato alcun nome e cognome. L’elaborato, secondo le modalità dei pubblici concorsi,  sarà inserito </w:t>
      </w:r>
      <w:r w:rsidR="001E1305">
        <w:rPr>
          <w:rFonts w:cs="Courier New"/>
          <w:color w:val="000000"/>
          <w:sz w:val="24"/>
          <w:szCs w:val="24"/>
          <w:lang w:eastAsia="it-IT"/>
        </w:rPr>
        <w:t xml:space="preserve">in forma anonima </w:t>
      </w:r>
      <w:r w:rsidR="0062623A">
        <w:rPr>
          <w:rFonts w:cs="Courier New"/>
          <w:color w:val="000000"/>
          <w:sz w:val="24"/>
          <w:szCs w:val="24"/>
          <w:lang w:eastAsia="it-IT"/>
        </w:rPr>
        <w:t>nella busta grande</w:t>
      </w:r>
      <w:r w:rsidR="001E1305">
        <w:rPr>
          <w:rFonts w:cs="Courier New"/>
          <w:color w:val="000000"/>
          <w:sz w:val="24"/>
          <w:szCs w:val="24"/>
          <w:lang w:eastAsia="it-IT"/>
        </w:rPr>
        <w:t>,</w:t>
      </w:r>
      <w:r w:rsidR="0062623A">
        <w:rPr>
          <w:rFonts w:cs="Courier New"/>
          <w:color w:val="000000"/>
          <w:sz w:val="24"/>
          <w:szCs w:val="24"/>
          <w:lang w:eastAsia="it-IT"/>
        </w:rPr>
        <w:t xml:space="preserve"> consegnata a ciascun concorrente prima della prova</w:t>
      </w:r>
      <w:r w:rsidR="001E1305">
        <w:rPr>
          <w:rFonts w:cs="Courier New"/>
          <w:color w:val="000000"/>
          <w:sz w:val="24"/>
          <w:szCs w:val="24"/>
          <w:lang w:eastAsia="it-IT"/>
        </w:rPr>
        <w:t>,</w:t>
      </w:r>
      <w:r w:rsidR="0062623A">
        <w:rPr>
          <w:rFonts w:cs="Courier New"/>
          <w:color w:val="000000"/>
          <w:sz w:val="24"/>
          <w:szCs w:val="24"/>
          <w:lang w:eastAsia="it-IT"/>
        </w:rPr>
        <w:t xml:space="preserve"> insieme alla busta piccola contenente la scheda identificativa in cui apporre il proprio </w:t>
      </w:r>
      <w:r w:rsidR="001E1305">
        <w:rPr>
          <w:rFonts w:cs="Courier New"/>
          <w:color w:val="000000"/>
          <w:sz w:val="24"/>
          <w:szCs w:val="24"/>
          <w:lang w:eastAsia="it-IT"/>
        </w:rPr>
        <w:t>nome e co</w:t>
      </w:r>
      <w:r w:rsidR="0062623A">
        <w:rPr>
          <w:rFonts w:cs="Courier New"/>
          <w:color w:val="000000"/>
          <w:sz w:val="24"/>
          <w:szCs w:val="24"/>
          <w:lang w:eastAsia="it-IT"/>
        </w:rPr>
        <w:t>gnome</w:t>
      </w:r>
      <w:r w:rsidR="001E1305">
        <w:rPr>
          <w:rFonts w:cs="Courier New"/>
          <w:color w:val="000000"/>
          <w:sz w:val="24"/>
          <w:szCs w:val="24"/>
          <w:lang w:eastAsia="it-IT"/>
        </w:rPr>
        <w:t>. La busta piccola, prima di essere inserita nella busta grande, sarà stata debitamente sigillata dal concorrente</w:t>
      </w:r>
      <w:r w:rsidR="0062623A">
        <w:rPr>
          <w:rFonts w:cs="Courier New"/>
          <w:color w:val="000000"/>
          <w:sz w:val="24"/>
          <w:szCs w:val="24"/>
          <w:lang w:eastAsia="it-IT"/>
        </w:rPr>
        <w:t>.</w:t>
      </w:r>
    </w:p>
    <w:p w:rsidR="005679C2" w:rsidRPr="00445690" w:rsidRDefault="0062623A"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r w:rsidRPr="00445690">
        <w:rPr>
          <w:rFonts w:cs="Courier New"/>
          <w:color w:val="000000"/>
          <w:sz w:val="24"/>
          <w:szCs w:val="24"/>
          <w:lang w:eastAsia="it-IT"/>
        </w:rPr>
        <w:t xml:space="preserve"> </w:t>
      </w: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b/>
          <w:sz w:val="24"/>
          <w:szCs w:val="24"/>
        </w:rPr>
      </w:pPr>
      <w:r w:rsidRPr="00445690">
        <w:rPr>
          <w:rFonts w:cs="Courier New"/>
          <w:b/>
          <w:color w:val="000000"/>
          <w:sz w:val="24"/>
          <w:szCs w:val="24"/>
          <w:lang w:eastAsia="it-IT"/>
        </w:rPr>
        <w:t>Art. 12</w:t>
      </w: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sz w:val="24"/>
          <w:szCs w:val="24"/>
        </w:rPr>
      </w:pPr>
      <w:r w:rsidRPr="00445690">
        <w:rPr>
          <w:rFonts w:cs="Courier New"/>
          <w:color w:val="000000"/>
          <w:sz w:val="24"/>
          <w:szCs w:val="24"/>
          <w:lang w:eastAsia="it-IT"/>
        </w:rPr>
        <w:t xml:space="preserve"> Non è ammesso portare con sé in aula, né tantomeno utilizzare, telefoni cellulari di qualsiasi tipo (comprese le apparecchiature in grado di inviare fotografie e immagini), nonché dispositivi a luce infrarossa o ultravioletta in genere; tale divieto è inoltre esteso ad apparecchiature elettroniche portatili (come </w:t>
      </w:r>
      <w:proofErr w:type="spellStart"/>
      <w:r w:rsidRPr="0062623A">
        <w:rPr>
          <w:rFonts w:cs="Courier New"/>
          <w:i/>
          <w:color w:val="000000"/>
          <w:sz w:val="24"/>
          <w:szCs w:val="24"/>
          <w:lang w:eastAsia="it-IT"/>
        </w:rPr>
        <w:t>tablet</w:t>
      </w:r>
      <w:proofErr w:type="spellEnd"/>
      <w:r w:rsidRPr="00445690">
        <w:rPr>
          <w:rFonts w:cs="Courier New"/>
          <w:color w:val="000000"/>
          <w:sz w:val="24"/>
          <w:szCs w:val="24"/>
          <w:lang w:eastAsia="it-IT"/>
        </w:rPr>
        <w:t xml:space="preserve"> e </w:t>
      </w:r>
      <w:proofErr w:type="spellStart"/>
      <w:r w:rsidRPr="0062623A">
        <w:rPr>
          <w:rFonts w:cs="Courier New"/>
          <w:i/>
          <w:color w:val="000000"/>
          <w:sz w:val="24"/>
          <w:szCs w:val="24"/>
          <w:lang w:eastAsia="it-IT"/>
        </w:rPr>
        <w:t>Ipode</w:t>
      </w:r>
      <w:proofErr w:type="spellEnd"/>
      <w:r w:rsidRPr="00445690">
        <w:rPr>
          <w:rFonts w:cs="Courier New"/>
          <w:color w:val="000000"/>
          <w:sz w:val="24"/>
          <w:szCs w:val="24"/>
          <w:lang w:eastAsia="it-IT"/>
        </w:rPr>
        <w:t xml:space="preserve">) e a </w:t>
      </w:r>
      <w:r w:rsidRPr="0062623A">
        <w:rPr>
          <w:rFonts w:cs="Courier New"/>
          <w:i/>
          <w:color w:val="000000"/>
          <w:sz w:val="24"/>
          <w:szCs w:val="24"/>
          <w:lang w:eastAsia="it-IT"/>
        </w:rPr>
        <w:t>personal computer</w:t>
      </w:r>
      <w:r w:rsidRPr="00445690">
        <w:rPr>
          <w:rFonts w:cs="Courier New"/>
          <w:color w:val="000000"/>
          <w:sz w:val="24"/>
          <w:szCs w:val="24"/>
          <w:lang w:eastAsia="it-IT"/>
        </w:rPr>
        <w:t xml:space="preserve"> portatili di qualsiasi tipo, in grado di collegarsi all’esterno dell’edificio scolastico tramite collegamenti </w:t>
      </w:r>
      <w:r w:rsidRPr="00445690">
        <w:rPr>
          <w:rFonts w:cs="Courier New"/>
          <w:i/>
          <w:color w:val="000000"/>
          <w:sz w:val="24"/>
          <w:szCs w:val="24"/>
          <w:lang w:eastAsia="it-IT"/>
        </w:rPr>
        <w:t>wireless</w:t>
      </w:r>
      <w:r w:rsidRPr="00445690">
        <w:rPr>
          <w:rFonts w:cs="Courier New"/>
          <w:color w:val="000000"/>
          <w:sz w:val="24"/>
          <w:szCs w:val="24"/>
          <w:lang w:eastAsia="it-IT"/>
        </w:rPr>
        <w:t xml:space="preserve"> o alla normale rete telefonica con protocolli UMTS, GPRS o BLUETOOH.  I concorrenti, pertanto, al momento dell’identificazione saranno invitati a depositare tali strumenti in apposito contenitore sotto la custodia della Commissione, che avrà cura di restituirli dopo la consegna della prova.</w:t>
      </w: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p>
    <w:p w:rsidR="00232251" w:rsidRDefault="00232251"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b/>
          <w:color w:val="000000"/>
          <w:sz w:val="24"/>
          <w:szCs w:val="24"/>
          <w:lang w:eastAsia="it-IT"/>
        </w:rPr>
      </w:pPr>
    </w:p>
    <w:p w:rsidR="00232251" w:rsidRDefault="00232251"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b/>
          <w:color w:val="000000"/>
          <w:sz w:val="24"/>
          <w:szCs w:val="24"/>
          <w:lang w:eastAsia="it-IT"/>
        </w:rPr>
      </w:pPr>
    </w:p>
    <w:p w:rsidR="00232251" w:rsidRDefault="00232251"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b/>
          <w:color w:val="000000"/>
          <w:sz w:val="24"/>
          <w:szCs w:val="24"/>
          <w:lang w:eastAsia="it-IT"/>
        </w:rPr>
      </w:pP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b/>
          <w:sz w:val="24"/>
          <w:szCs w:val="24"/>
        </w:rPr>
      </w:pPr>
      <w:r w:rsidRPr="00445690">
        <w:rPr>
          <w:rFonts w:cs="Courier New"/>
          <w:b/>
          <w:color w:val="000000"/>
          <w:sz w:val="24"/>
          <w:szCs w:val="24"/>
          <w:lang w:eastAsia="it-IT"/>
        </w:rPr>
        <w:t>Art. 13</w:t>
      </w: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sz w:val="24"/>
          <w:szCs w:val="24"/>
        </w:rPr>
      </w:pPr>
      <w:r w:rsidRPr="00445690">
        <w:rPr>
          <w:rFonts w:cs="Courier New"/>
          <w:color w:val="000000"/>
          <w:sz w:val="24"/>
          <w:szCs w:val="24"/>
          <w:lang w:eastAsia="it-IT"/>
        </w:rPr>
        <w:t>Dopo l’inizio della prova, il concorrente sorpreso ad utilizzare la  strumentazione indicata al precedente art. 12 sarà escluso dalla gara.</w:t>
      </w: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b/>
          <w:sz w:val="24"/>
          <w:szCs w:val="24"/>
        </w:rPr>
      </w:pPr>
      <w:r w:rsidRPr="00445690">
        <w:rPr>
          <w:rFonts w:cs="Courier New"/>
          <w:b/>
          <w:color w:val="000000"/>
          <w:sz w:val="24"/>
          <w:szCs w:val="24"/>
          <w:lang w:eastAsia="it-IT"/>
        </w:rPr>
        <w:t>Art. 14</w:t>
      </w:r>
    </w:p>
    <w:p w:rsidR="005679C2" w:rsidRPr="00445690"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p>
    <w:p w:rsidR="005679C2" w:rsidRDefault="005679C2"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r w:rsidRPr="00445690">
        <w:rPr>
          <w:rFonts w:cs="Courier New"/>
          <w:color w:val="000000"/>
          <w:sz w:val="24"/>
          <w:szCs w:val="24"/>
          <w:lang w:eastAsia="it-IT"/>
        </w:rPr>
        <w:t>Il concorrente sorpreso a copiare sarà escluso dalla gara.</w:t>
      </w:r>
    </w:p>
    <w:p w:rsidR="00232251" w:rsidRDefault="00232251" w:rsidP="005679C2">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cs="Courier New"/>
          <w:color w:val="000000"/>
          <w:sz w:val="24"/>
          <w:szCs w:val="24"/>
          <w:lang w:eastAsia="it-IT"/>
        </w:rPr>
      </w:pPr>
    </w:p>
    <w:p w:rsidR="00232251" w:rsidRPr="00445690" w:rsidRDefault="00232251" w:rsidP="00232251">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b/>
          <w:sz w:val="24"/>
          <w:szCs w:val="24"/>
        </w:rPr>
      </w:pPr>
      <w:r w:rsidRPr="00445690">
        <w:rPr>
          <w:rFonts w:cs="Courier New"/>
          <w:b/>
          <w:sz w:val="24"/>
          <w:szCs w:val="24"/>
          <w:lang w:eastAsia="it-IT"/>
        </w:rPr>
        <w:t>Art.</w:t>
      </w:r>
      <w:r>
        <w:rPr>
          <w:rFonts w:cs="Courier New"/>
          <w:b/>
          <w:sz w:val="24"/>
          <w:szCs w:val="24"/>
          <w:lang w:eastAsia="it-IT"/>
        </w:rPr>
        <w:t xml:space="preserve"> 15</w:t>
      </w:r>
    </w:p>
    <w:p w:rsidR="00232251" w:rsidRPr="00445690" w:rsidRDefault="00232251" w:rsidP="00232251">
      <w:pPr>
        <w:pStyle w:val="Standard"/>
        <w:spacing w:after="100" w:afterAutospacing="1" w:line="240" w:lineRule="auto"/>
        <w:contextualSpacing/>
        <w:jc w:val="both"/>
        <w:rPr>
          <w:sz w:val="24"/>
          <w:szCs w:val="24"/>
        </w:rPr>
      </w:pPr>
    </w:p>
    <w:p w:rsidR="00232251" w:rsidRPr="00874600" w:rsidRDefault="00232251" w:rsidP="00232251">
      <w:pPr>
        <w:pStyle w:val="Standard"/>
        <w:spacing w:after="0" w:line="240" w:lineRule="auto"/>
        <w:jc w:val="both"/>
      </w:pPr>
      <w:r>
        <w:rPr>
          <w:sz w:val="24"/>
          <w:szCs w:val="24"/>
        </w:rPr>
        <w:t xml:space="preserve">A partire dalla IV edizione il </w:t>
      </w:r>
      <w:r w:rsidR="0062623A" w:rsidRPr="0062623A">
        <w:rPr>
          <w:sz w:val="24"/>
          <w:szCs w:val="24"/>
        </w:rPr>
        <w:t>CERTAMEN PATRISTICUM VIGLEVANENSE</w:t>
      </w:r>
      <w:r>
        <w:rPr>
          <w:i/>
          <w:sz w:val="24"/>
          <w:szCs w:val="24"/>
        </w:rPr>
        <w:t xml:space="preserve"> </w:t>
      </w:r>
      <w:r>
        <w:rPr>
          <w:sz w:val="24"/>
          <w:szCs w:val="24"/>
        </w:rPr>
        <w:t>ha ricevuto l’accreditamento ufficiale del MIUR. Il primo classificato della competizione acquisisce dunque il diritto di accedere direttamente, senza passare cioè dalle fasi eliminatorie precedenti, alla finale delle Olimpiadi delle Lingue e Civiltà Classiche (</w:t>
      </w:r>
      <w:hyperlink r:id="rId5" w:history="1">
        <w:r w:rsidRPr="00483A6E">
          <w:rPr>
            <w:rStyle w:val="Collegamentoipertestuale"/>
            <w:sz w:val="24"/>
            <w:szCs w:val="24"/>
          </w:rPr>
          <w:t>www.olimpiadiclassiche.it</w:t>
        </w:r>
      </w:hyperlink>
      <w:r>
        <w:rPr>
          <w:sz w:val="24"/>
          <w:szCs w:val="24"/>
        </w:rPr>
        <w:t>), previa presentazione della Scheda di partecipazione debitamente compilata in ogni sua parte.</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w:t>
      </w:r>
      <w:r w:rsidR="00232251">
        <w:rPr>
          <w:b/>
          <w:sz w:val="24"/>
          <w:szCs w:val="24"/>
        </w:rPr>
        <w:t xml:space="preserve"> 16</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Per quanto non esplicitamente previsto nel presente Regolamento si dovrà far riferimento al Bando annuale.</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b/>
          <w:sz w:val="24"/>
          <w:szCs w:val="24"/>
        </w:rPr>
      </w:pPr>
      <w:r w:rsidRPr="00445690">
        <w:rPr>
          <w:b/>
          <w:sz w:val="24"/>
          <w:szCs w:val="24"/>
        </w:rPr>
        <w:t>Art.</w:t>
      </w:r>
      <w:r w:rsidR="00232251">
        <w:rPr>
          <w:b/>
          <w:sz w:val="24"/>
          <w:szCs w:val="24"/>
        </w:rPr>
        <w:t xml:space="preserve"> 17</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La partecipazione al CERTAMEN implica l’accettazione del presente Regolamento.</w:t>
      </w:r>
    </w:p>
    <w:p w:rsidR="005679C2" w:rsidRPr="00445690" w:rsidRDefault="005679C2" w:rsidP="005679C2">
      <w:pPr>
        <w:pStyle w:val="Standard"/>
        <w:spacing w:after="100" w:afterAutospacing="1" w:line="240" w:lineRule="auto"/>
        <w:contextualSpacing/>
        <w:jc w:val="both"/>
        <w:rPr>
          <w:sz w:val="24"/>
          <w:szCs w:val="24"/>
        </w:rPr>
      </w:pPr>
      <w:r w:rsidRPr="00445690">
        <w:rPr>
          <w:sz w:val="24"/>
          <w:szCs w:val="24"/>
        </w:rPr>
        <w:t>I dati e le immagini dei partecipanti verranno utilizzati per tutte le attività inerenti alla manifestazione nel rispetto delle leggi n. 675/96 e del Regolamento M.P.I. n. 305 del 7/12/2006.</w:t>
      </w: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p>
    <w:p w:rsidR="005679C2" w:rsidRPr="00445690" w:rsidRDefault="005679C2" w:rsidP="005679C2">
      <w:pPr>
        <w:pStyle w:val="Standard"/>
        <w:spacing w:after="100" w:afterAutospacing="1" w:line="240" w:lineRule="auto"/>
        <w:contextualSpacing/>
        <w:jc w:val="both"/>
        <w:rPr>
          <w:sz w:val="24"/>
          <w:szCs w:val="24"/>
        </w:rPr>
      </w:pPr>
    </w:p>
    <w:p w:rsidR="00DC1EAE" w:rsidRDefault="00DC1EAE">
      <w:bookmarkStart w:id="0" w:name="_GoBack"/>
      <w:bookmarkEnd w:id="0"/>
    </w:p>
    <w:sectPr w:rsidR="00DC1EAE" w:rsidSect="007A545E">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5679C2"/>
    <w:rsid w:val="001E1305"/>
    <w:rsid w:val="00232251"/>
    <w:rsid w:val="00336478"/>
    <w:rsid w:val="00441222"/>
    <w:rsid w:val="005679C2"/>
    <w:rsid w:val="0062623A"/>
    <w:rsid w:val="00DC1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79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679C2"/>
    <w:pPr>
      <w:suppressAutoHyphens/>
      <w:autoSpaceDN w:val="0"/>
      <w:textAlignment w:val="baseline"/>
    </w:pPr>
    <w:rPr>
      <w:rFonts w:ascii="Calibri" w:eastAsia="Calibri" w:hAnsi="Calibri" w:cs="Times New Roman"/>
      <w:kern w:val="3"/>
    </w:rPr>
  </w:style>
  <w:style w:type="character" w:styleId="Collegamentoipertestuale">
    <w:name w:val="Hyperlink"/>
    <w:basedOn w:val="Carpredefinitoparagrafo"/>
    <w:uiPriority w:val="99"/>
    <w:unhideWhenUsed/>
    <w:rsid w:val="00232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impiadiclassi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866</Words>
  <Characters>4942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Aula17</dc:creator>
  <cp:lastModifiedBy>Alessandro</cp:lastModifiedBy>
  <cp:revision>4</cp:revision>
  <dcterms:created xsi:type="dcterms:W3CDTF">2019-10-07T08:48:00Z</dcterms:created>
  <dcterms:modified xsi:type="dcterms:W3CDTF">2019-10-07T19:14:00Z</dcterms:modified>
</cp:coreProperties>
</file>